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sz w:val="32"/>
          <w:szCs w:val="32"/>
        </w:rPr>
      </w:pPr>
      <w:r w:rsidDel="00000000" w:rsidR="00000000" w:rsidRPr="00000000">
        <w:rPr>
          <w:sz w:val="32"/>
          <w:szCs w:val="32"/>
        </w:rPr>
        <w:drawing>
          <wp:inline distB="114300" distT="114300" distL="114300" distR="114300">
            <wp:extent cx="5734050" cy="2686050"/>
            <wp:effectExtent b="0" l="0" r="0" t="0"/>
            <wp:docPr id="1" name="image1.png"/>
            <a:graphic>
              <a:graphicData uri="http://schemas.openxmlformats.org/drawingml/2006/picture">
                <pic:pic>
                  <pic:nvPicPr>
                    <pic:cNvPr id="0" name="image1.png"/>
                    <pic:cNvPicPr preferRelativeResize="0"/>
                  </pic:nvPicPr>
                  <pic:blipFill>
                    <a:blip r:embed="rId6"/>
                    <a:srcRect b="24197" l="0" r="0" t="6172"/>
                    <a:stretch>
                      <a:fillRect/>
                    </a:stretch>
                  </pic:blipFill>
                  <pic:spPr>
                    <a:xfrm>
                      <a:off x="0" y="0"/>
                      <a:ext cx="5734050" cy="2686050"/>
                    </a:xfrm>
                    <a:prstGeom prst="rect"/>
                    <a:ln/>
                  </pic:spPr>
                </pic:pic>
              </a:graphicData>
            </a:graphic>
          </wp:inline>
        </w:drawing>
      </w:r>
      <w:r w:rsidDel="00000000" w:rsidR="00000000" w:rsidRPr="00000000">
        <w:rPr>
          <w:color w:val="222222"/>
          <w:sz w:val="32"/>
          <w:szCs w:val="32"/>
          <w:rtl w:val="0"/>
        </w:rPr>
        <w:t xml:space="preserve">Declaración de Ciudad del Cabo sobre Tierra, Vida y Sociedad</w:t>
      </w:r>
      <w:r w:rsidDel="00000000" w:rsidR="00000000" w:rsidRPr="00000000">
        <w:rPr>
          <w:sz w:val="32"/>
          <w:szCs w:val="32"/>
          <w:rtl w:val="0"/>
        </w:rPr>
        <w:t xml:space="preserve"> </w:t>
      </w:r>
    </w:p>
    <w:p w:rsidR="00000000" w:rsidDel="00000000" w:rsidP="00000000" w:rsidRDefault="00000000" w:rsidRPr="00000000" w14:paraId="00000002">
      <w:pPr>
        <w:spacing w:after="240" w:before="240" w:lineRule="auto"/>
        <w:jc w:val="left"/>
        <w:rPr/>
      </w:pPr>
      <w:r w:rsidDel="00000000" w:rsidR="00000000" w:rsidRPr="00000000">
        <w:rPr>
          <w:color w:val="222222"/>
          <w:rtl w:val="0"/>
        </w:rPr>
        <w:t xml:space="preserve">9 de octubre de 2025</w:t>
      </w:r>
      <w:r w:rsidDel="00000000" w:rsidR="00000000" w:rsidRPr="00000000">
        <w:rPr>
          <w:rtl w:val="0"/>
        </w:rPr>
      </w:r>
    </w:p>
    <w:p w:rsidR="00000000" w:rsidDel="00000000" w:rsidP="00000000" w:rsidRDefault="00000000" w:rsidRPr="00000000" w14:paraId="00000003">
      <w:pPr>
        <w:spacing w:after="240" w:before="240" w:lineRule="auto"/>
        <w:jc w:val="both"/>
        <w:rPr>
          <w:color w:val="222222"/>
        </w:rPr>
      </w:pPr>
      <w:r w:rsidDel="00000000" w:rsidR="00000000" w:rsidRPr="00000000">
        <w:rPr>
          <w:color w:val="222222"/>
          <w:highlight w:val="white"/>
          <w:rtl w:val="0"/>
        </w:rPr>
        <w:t xml:space="preserve">Somos académicos comprometidos de 53 países, incluidos 28 en África, formados en una variedad de disciplinas, que nos reunimos del 7 al 9 de octubre de 2025 en un congreso sobre Tierra, Vida y Sociedad organizado por la Universidad del Cabo Occidental (University of the Western Cape). Nuestra investigación, en diálogo permanente con movimientos sociales, expertos y profesionales en políticas (inter)gubernamentales, y pueblos que viven de la tierra, fundamenta nuestro acuerdo sobre la urgencia de una respuesta colectiva y global a las crisis, centrada en las interconexiones sostenibles, seguras y saludables entre la tierra, el agua, los alimentos y el clima.</w:t>
      </w:r>
      <w:r w:rsidDel="00000000" w:rsidR="00000000" w:rsidRPr="00000000">
        <w:rPr>
          <w:rtl w:val="0"/>
        </w:rPr>
      </w:r>
    </w:p>
    <w:p w:rsidR="00000000" w:rsidDel="00000000" w:rsidP="00000000" w:rsidRDefault="00000000" w:rsidRPr="00000000" w14:paraId="00000004">
      <w:pPr>
        <w:spacing w:after="240" w:before="240" w:lineRule="auto"/>
        <w:jc w:val="both"/>
        <w:rPr>
          <w:color w:val="222222"/>
        </w:rPr>
      </w:pPr>
      <w:r w:rsidDel="00000000" w:rsidR="00000000" w:rsidRPr="00000000">
        <w:rPr>
          <w:color w:val="222222"/>
          <w:highlight w:val="white"/>
          <w:rtl w:val="0"/>
        </w:rPr>
        <w:t xml:space="preserve">Vivimos un momento de crisis múltiples y sobrepuestas. Si no alteramos nuestra forma de vivir juntos y en la tierra, nos arriesgamos a destruir a la humanidad y al planeta mismo. Estas crisis se han ido gestando durante siglos, pero hoy se aceleran rápidamente y son experimentadas como parte de la vida cotidiana por la mayoría de los pueblos del mundo: la pobreza y el hambre son una realidad para miles de millones de personas (y más cada día); suministros de agua contaminada y en desaparición; tasas crecientes de pobreza, falta de poder y hambre; la incapacidad de enfrentar la crisis climática, aun cuando el consenso académico nos advierte sobre un punto de inflexión inminente; y la degradación de las condiciones esenciales de la vida (aire, agua, tierra, bosques). Cada vez más, los líderes autoritarios instrumentalizan estas crisis mediante despojos excluyentes, violencia de estado y genocidio, como vemos en todo el mundo, como en Palestina y otros lugares.</w:t>
      </w:r>
      <w:r w:rsidDel="00000000" w:rsidR="00000000" w:rsidRPr="00000000">
        <w:rPr>
          <w:rtl w:val="0"/>
        </w:rPr>
      </w:r>
    </w:p>
    <w:p w:rsidR="00000000" w:rsidDel="00000000" w:rsidP="00000000" w:rsidRDefault="00000000" w:rsidRPr="00000000" w14:paraId="00000005">
      <w:pPr>
        <w:spacing w:after="240" w:before="240" w:lineRule="auto"/>
        <w:jc w:val="both"/>
        <w:rPr>
          <w:color w:val="222222"/>
          <w:highlight w:val="white"/>
        </w:rPr>
      </w:pPr>
      <w:r w:rsidDel="00000000" w:rsidR="00000000" w:rsidRPr="00000000">
        <w:rPr>
          <w:color w:val="222222"/>
          <w:highlight w:val="white"/>
          <w:rtl w:val="0"/>
        </w:rPr>
        <w:t xml:space="preserve">Estas condiciones han empeorado en las últimas décadas debido al aumento de la desigualdad: la concentración de la riqueza y los ingresos se encuentra en niveles históricamente altos, sin dar señales de que se esté deteniendo o disminuyendo. En la actualidad, la evidencia sugiere que sólo ocho individuos poseen más de la mitad de la riqueza mundial.</w:t>
      </w:r>
    </w:p>
    <w:p w:rsidR="00000000" w:rsidDel="00000000" w:rsidP="00000000" w:rsidRDefault="00000000" w:rsidRPr="00000000" w14:paraId="00000006">
      <w:pPr>
        <w:spacing w:after="240" w:before="240" w:lineRule="auto"/>
        <w:jc w:val="both"/>
        <w:rPr>
          <w:color w:val="222222"/>
        </w:rPr>
      </w:pPr>
      <w:r w:rsidDel="00000000" w:rsidR="00000000" w:rsidRPr="00000000">
        <w:rPr>
          <w:rtl w:val="0"/>
        </w:rPr>
      </w:r>
    </w:p>
    <w:p w:rsidR="00000000" w:rsidDel="00000000" w:rsidP="00000000" w:rsidRDefault="00000000" w:rsidRPr="00000000" w14:paraId="00000007">
      <w:pPr>
        <w:spacing w:after="240" w:before="240" w:lineRule="auto"/>
        <w:jc w:val="both"/>
        <w:rPr>
          <w:color w:val="222222"/>
        </w:rPr>
      </w:pPr>
      <w:r w:rsidDel="00000000" w:rsidR="00000000" w:rsidRPr="00000000">
        <w:rPr>
          <w:color w:val="222222"/>
          <w:highlight w:val="white"/>
          <w:rtl w:val="0"/>
        </w:rPr>
        <w:t xml:space="preserve">En ningún ámbito es tan evidente esta concentración como en la propiedad de la tierra, donde la desigualdad es peligrosa y creciente. Un puñado de empresas agroindustriales hoy controla el sistema alimentario, mientras los pequeños agricultores y los trabajadores rurales son expulsados a las periferias, tanto en las áreas rurales como en las urbanas. Donde la gente trabaja la tierra, el cambio climático y las industrias extractivas -desde la minería hasta la agricultura intensiva orientada a la exportación- amenazan su existencia. La financialización de la tierra y las nuevas tecnologías, como la IA, las criptomonedas y el </w:t>
      </w:r>
      <w:r w:rsidDel="00000000" w:rsidR="00000000" w:rsidRPr="00000000">
        <w:rPr>
          <w:i w:val="1"/>
          <w:color w:val="222222"/>
          <w:highlight w:val="white"/>
          <w:rtl w:val="0"/>
        </w:rPr>
        <w:t xml:space="preserve">blockchain</w:t>
      </w:r>
      <w:r w:rsidDel="00000000" w:rsidR="00000000" w:rsidRPr="00000000">
        <w:rPr>
          <w:color w:val="222222"/>
          <w:highlight w:val="white"/>
          <w:rtl w:val="0"/>
        </w:rPr>
        <w:t xml:space="preserve">, pueden despojar del control de la tierra a la gente común. En vista de todas estas crisis, resulta imprescindible alcanzar un acuerdo global sobre una forma diferente de vivir colectivamente y en este planeta.</w:t>
      </w:r>
      <w:r w:rsidDel="00000000" w:rsidR="00000000" w:rsidRPr="00000000">
        <w:rPr>
          <w:rtl w:val="0"/>
        </w:rPr>
      </w:r>
    </w:p>
    <w:p w:rsidR="00000000" w:rsidDel="00000000" w:rsidP="00000000" w:rsidRDefault="00000000" w:rsidRPr="00000000" w14:paraId="00000008">
      <w:pPr>
        <w:spacing w:after="240" w:before="240" w:lineRule="auto"/>
        <w:jc w:val="both"/>
        <w:rPr>
          <w:color w:val="222222"/>
        </w:rPr>
      </w:pPr>
      <w:r w:rsidDel="00000000" w:rsidR="00000000" w:rsidRPr="00000000">
        <w:rPr>
          <w:color w:val="222222"/>
          <w:highlight w:val="white"/>
          <w:rtl w:val="0"/>
        </w:rPr>
        <w:t xml:space="preserve">La tierra es vida, y es fundamental para una sociedad próspera . La tierra es clave para producir alimentos y generar empleos, y la tierra también es la base para la reproducción social, creando vidas saludables para todos. La tierra es esencial para la identidad y la cultura: es el vínculo entre las personas, los lugares y los territorios. La tierra conecta a la gente y a la naturaleza en un todo que permite un futuro sostenible para todas las personas.</w:t>
      </w: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color w:val="222222"/>
          <w:highlight w:val="white"/>
          <w:rtl w:val="0"/>
        </w:rPr>
        <w:t xml:space="preserve">Nuestra investigación sustenta las siguientes 15 prioridades que fungen como nuestra contribución para el próximo Congreso Internacional sobre Reforma Agraria y Desarrollo (ICARRD+20).</w:t>
      </w:r>
      <w:r w:rsidDel="00000000" w:rsidR="00000000" w:rsidRPr="00000000">
        <w:rPr>
          <w:rtl w:val="0"/>
        </w:rPr>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Redistribución</w:t>
      </w:r>
      <w:r w:rsidDel="00000000" w:rsidR="00000000" w:rsidRPr="00000000">
        <w:rPr>
          <w:rtl w:val="0"/>
        </w:rPr>
      </w:r>
    </w:p>
    <w:p w:rsidR="00000000" w:rsidDel="00000000" w:rsidP="00000000" w:rsidRDefault="00000000" w:rsidRPr="00000000" w14:paraId="0000000B">
      <w:pPr>
        <w:numPr>
          <w:ilvl w:val="0"/>
          <w:numId w:val="1"/>
        </w:numPr>
        <w:spacing w:after="0" w:afterAutospacing="0" w:before="240" w:lineRule="auto"/>
        <w:ind w:left="720" w:hanging="360"/>
        <w:jc w:val="both"/>
        <w:rPr>
          <w:u w:val="none"/>
        </w:rPr>
      </w:pPr>
      <w:r w:rsidDel="00000000" w:rsidR="00000000" w:rsidRPr="00000000">
        <w:rPr>
          <w:color w:val="222222"/>
          <w:highlight w:val="white"/>
          <w:rtl w:val="0"/>
        </w:rPr>
        <w:t xml:space="preserve">Para detener y revertir la creciente concentración y desigualdad de la tierra, es necesario enfocarse en la redistribución de la tierra y los recursos naturales, incluida el agua, para ampliar el acceso y el control a los mismos. La ocupación de la tierra por parte de personas sin tierra, pobres y trabajadores, debe ser despenalizada, y debe reconocerse la utilidad social de la tierra y el territorio.</w:t>
      </w:r>
      <w:r w:rsidDel="00000000" w:rsidR="00000000" w:rsidRPr="00000000">
        <w:rPr>
          <w:rtl w:val="0"/>
        </w:rPr>
        <w:t xml:space="preserve"> </w:t>
      </w:r>
    </w:p>
    <w:p w:rsidR="00000000" w:rsidDel="00000000" w:rsidP="00000000" w:rsidRDefault="00000000" w:rsidRPr="00000000" w14:paraId="0000000C">
      <w:pPr>
        <w:numPr>
          <w:ilvl w:val="0"/>
          <w:numId w:val="1"/>
        </w:numPr>
        <w:spacing w:after="0" w:afterAutospacing="0" w:before="0" w:beforeAutospacing="0" w:lineRule="auto"/>
        <w:ind w:left="720" w:hanging="360"/>
        <w:jc w:val="both"/>
        <w:rPr>
          <w:u w:val="none"/>
        </w:rPr>
      </w:pPr>
      <w:r w:rsidDel="00000000" w:rsidR="00000000" w:rsidRPr="00000000">
        <w:rPr>
          <w:color w:val="222222"/>
          <w:highlight w:val="white"/>
          <w:rtl w:val="0"/>
        </w:rPr>
        <w:t xml:space="preserve">Las reformas agrarias basadas en el mercado han fracasado. Los esfuerzos de redistribución no deben depender de los mercados y deben incluir no sólo las transferencias clásicas de tierra a las personas más pobres y sin tierra, sino también una redistribución más amplia del control sobre la tierra y el agua, reestructurando relaciones para remediar la desigualdad. Estas alternativas más colectivas son relevantes para un sinnúmero de personas, incluidos los pastores que utilizan el entorno más ampliamente para su movilidad.</w:t>
      </w:r>
      <w:r w:rsidDel="00000000" w:rsidR="00000000" w:rsidRPr="00000000">
        <w:rPr>
          <w:rtl w:val="0"/>
        </w:rPr>
      </w:r>
    </w:p>
    <w:p w:rsidR="00000000" w:rsidDel="00000000" w:rsidP="00000000" w:rsidRDefault="00000000" w:rsidRPr="00000000" w14:paraId="0000000D">
      <w:pPr>
        <w:numPr>
          <w:ilvl w:val="0"/>
          <w:numId w:val="1"/>
        </w:numPr>
        <w:spacing w:after="240" w:before="0" w:beforeAutospacing="0" w:lineRule="auto"/>
        <w:ind w:left="720" w:hanging="360"/>
        <w:jc w:val="both"/>
        <w:rPr>
          <w:u w:val="none"/>
        </w:rPr>
      </w:pPr>
      <w:r w:rsidDel="00000000" w:rsidR="00000000" w:rsidRPr="00000000">
        <w:rPr>
          <w:color w:val="222222"/>
          <w:highlight w:val="white"/>
          <w:rtl w:val="0"/>
        </w:rPr>
        <w:t xml:space="preserve">Como guardianes efectivos de la tierra y los recursos naturales, los pueblos indígenas, los grupos étnicos y las castas marginadas, las mujeres, la juventud y las personas migrantes necesitadas, deben estar en el centro de los esfuerzos de la reforma agraria redistributiva.</w:t>
      </w:r>
      <w:r w:rsidDel="00000000" w:rsidR="00000000" w:rsidRPr="00000000">
        <w:rPr>
          <w:rtl w:val="0"/>
        </w:rPr>
      </w:r>
    </w:p>
    <w:p w:rsidR="00000000" w:rsidDel="00000000" w:rsidP="00000000" w:rsidRDefault="00000000" w:rsidRPr="00000000" w14:paraId="0000000E">
      <w:pPr>
        <w:spacing w:after="240" w:before="240" w:lineRule="auto"/>
        <w:rPr>
          <w:b w:val="1"/>
        </w:rPr>
      </w:pPr>
      <w:r w:rsidDel="00000000" w:rsidR="00000000" w:rsidRPr="00000000">
        <w:rPr>
          <w:b w:val="1"/>
          <w:color w:val="222222"/>
          <w:highlight w:val="white"/>
          <w:rtl w:val="0"/>
        </w:rPr>
        <w:t xml:space="preserve">Propiedad y control de la tierra</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both"/>
      </w:pPr>
      <w:r w:rsidDel="00000000" w:rsidR="00000000" w:rsidRPr="00000000">
        <w:rPr>
          <w:color w:val="222222"/>
          <w:highlight w:val="white"/>
          <w:rtl w:val="0"/>
        </w:rPr>
        <w:t xml:space="preserve">La distribución de la tierra no puede centrarse únicamente en la propiedad privada individual, o fracasará. Se debe reconocer una gama más amplia de relaciones de propiedad. Si bien el acceso a parcelas individuales con tenencia segura puede ser parte de la solución, una apreciación más amplia de los recursos colectivos y compartidos es importante como parte de un nuevo énfasis en las soluciones comunales. El acceso privado debe estar sujeto a condiciones de uso y transferencia que garanticen un beneficio público más amplio.</w:t>
      </w:r>
      <w:r w:rsidDel="00000000" w:rsidR="00000000" w:rsidRPr="00000000">
        <w:rPr>
          <w:rtl w:val="0"/>
        </w:rPr>
      </w:r>
    </w:p>
    <w:p w:rsidR="00000000" w:rsidDel="00000000" w:rsidP="00000000" w:rsidRDefault="00000000" w:rsidRPr="00000000" w14:paraId="00000010">
      <w:pPr>
        <w:spacing w:after="240" w:before="240" w:lineRule="auto"/>
        <w:rPr>
          <w:b w:val="1"/>
        </w:rPr>
      </w:pPr>
      <w:r w:rsidDel="00000000" w:rsidR="00000000" w:rsidRPr="00000000">
        <w:rPr>
          <w:b w:val="1"/>
          <w:color w:val="222222"/>
          <w:highlight w:val="white"/>
          <w:rtl w:val="0"/>
        </w:rPr>
        <w:t xml:space="preserve">Sistemas alimentarios</w:t>
      </w:r>
      <w:r w:rsidDel="00000000" w:rsidR="00000000" w:rsidRPr="00000000">
        <w:rPr>
          <w:rtl w:val="0"/>
        </w:rPr>
      </w:r>
    </w:p>
    <w:p w:rsidR="00000000" w:rsidDel="00000000" w:rsidP="00000000" w:rsidRDefault="00000000" w:rsidRPr="00000000" w14:paraId="00000011">
      <w:pPr>
        <w:numPr>
          <w:ilvl w:val="0"/>
          <w:numId w:val="1"/>
        </w:numPr>
        <w:ind w:left="720" w:hanging="360"/>
        <w:jc w:val="both"/>
      </w:pPr>
      <w:r w:rsidDel="00000000" w:rsidR="00000000" w:rsidRPr="00000000">
        <w:rPr>
          <w:color w:val="222222"/>
          <w:highlight w:val="white"/>
          <w:rtl w:val="0"/>
        </w:rPr>
        <w:t xml:space="preserve">Investigaciones sobre experiencias pasadas de reforma agraria muestran que la redistribución de la tierra debe transformar los sistemas de producción, procesamiento, distribución y consumo de alimentos. El control monopólico y monopsónico por parte de la agroindustria, junto con la producción industrializada, ha llevado a la concentración de la tierra y la desigualdad, así como al aumento de los alimentos ultra-procesados, la malnutrición y la obesidad.</w:t>
      </w:r>
      <w:r w:rsidDel="00000000" w:rsidR="00000000" w:rsidRPr="00000000">
        <w:rPr>
          <w:rtl w:val="0"/>
        </w:rPr>
      </w:r>
    </w:p>
    <w:p w:rsidR="00000000" w:rsidDel="00000000" w:rsidP="00000000" w:rsidRDefault="00000000" w:rsidRPr="00000000" w14:paraId="00000012">
      <w:pPr>
        <w:numPr>
          <w:ilvl w:val="0"/>
          <w:numId w:val="1"/>
        </w:numPr>
        <w:ind w:left="720" w:hanging="360"/>
        <w:jc w:val="both"/>
        <w:rPr/>
      </w:pPr>
      <w:r w:rsidDel="00000000" w:rsidR="00000000" w:rsidRPr="00000000">
        <w:rPr>
          <w:color w:val="222222"/>
          <w:highlight w:val="white"/>
          <w:rtl w:val="0"/>
        </w:rPr>
        <w:t xml:space="preserve">Abogamos por cadenas de suministro más cortas, sistemas de producción más locales y una mayor diversidad dietética. Los sistemas alimentarios resilientes requieren una reforma radical de la tierra, el agua y lo agrario. Se deben desarrollar políticas que promuevan la soberanía alimentaria, vinculando a los pequeños agricultores con los consumidores, democratizando el control del sistema alimentario y generando alimentos seguros, nutritivos y asequibles.</w:t>
      </w:r>
      <w:r w:rsidDel="00000000" w:rsidR="00000000" w:rsidRPr="00000000">
        <w:rPr>
          <w:rtl w:val="0"/>
        </w:rPr>
      </w:r>
    </w:p>
    <w:p w:rsidR="00000000" w:rsidDel="00000000" w:rsidP="00000000" w:rsidRDefault="00000000" w:rsidRPr="00000000" w14:paraId="00000013">
      <w:pPr>
        <w:spacing w:after="240" w:before="240" w:lineRule="auto"/>
        <w:rPr>
          <w:b w:val="1"/>
        </w:rPr>
      </w:pPr>
      <w:r w:rsidDel="00000000" w:rsidR="00000000" w:rsidRPr="00000000">
        <w:rPr>
          <w:b w:val="1"/>
          <w:color w:val="222222"/>
          <w:highlight w:val="white"/>
          <w:rtl w:val="0"/>
        </w:rPr>
        <w:t xml:space="preserve">Cambio climático y ambiental</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both"/>
      </w:pPr>
      <w:r w:rsidDel="00000000" w:rsidR="00000000" w:rsidRPr="00000000">
        <w:rPr>
          <w:color w:val="222222"/>
          <w:highlight w:val="white"/>
          <w:rtl w:val="0"/>
        </w:rPr>
        <w:t xml:space="preserve">Abordar el cambio climático y el cambio ambiental más amplio debe ser parte fundamental de la reforma agraria y el desarrollo rural. La tierra, el agua y el clima están íntimamente entrelazados. El cambio de uso de suelo puede ser tanto la causa como la solución del cambio climático. Reducir la producción dependiente de combustibles fósiles es crucial. La agroindustria a gran escala, dependiente de altos insumos y vinculada a los sistemas globales de comercio, es particularmente dañina. Por el contrario, el uso del suelo para sistemas agroecológicos sostenibles, controlados por personas que operan dentro de redes económicas locales, ofrece oportunidades tanto para la mitigación como para la adaptación climática.</w:t>
      </w:r>
    </w:p>
    <w:p w:rsidR="00000000" w:rsidDel="00000000" w:rsidP="00000000" w:rsidRDefault="00000000" w:rsidRPr="00000000" w14:paraId="00000015">
      <w:pPr>
        <w:numPr>
          <w:ilvl w:val="0"/>
          <w:numId w:val="1"/>
        </w:numPr>
        <w:spacing w:after="240" w:before="0" w:beforeAutospacing="0" w:lineRule="auto"/>
        <w:ind w:left="720" w:hanging="360"/>
        <w:jc w:val="both"/>
        <w:rPr/>
      </w:pPr>
      <w:r w:rsidDel="00000000" w:rsidR="00000000" w:rsidRPr="00000000">
        <w:rPr>
          <w:color w:val="222222"/>
          <w:highlight w:val="white"/>
          <w:rtl w:val="0"/>
        </w:rPr>
        <w:t xml:space="preserve">Las soluciones climáticas impuestas externamente y orientadas a cumplir objetivos de cero emisiones netas –por ejemplo, proyectos de compensación de carbono o proyectos de energía renovable– a menudo socavan los medios y modos de vida y destruyen la  tierra en el Sur Global. Dichas formas de "extractivismo verde" deben ser rechazadas en favor de respuestas alternativas al cambio climático, centradas en el uso localmente liderado y sostenible de la tierra y los recursos.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right="0"/>
        <w:jc w:val="left"/>
        <w:rPr>
          <w:b w:val="1"/>
        </w:rPr>
      </w:pPr>
      <w:r w:rsidDel="00000000" w:rsidR="00000000" w:rsidRPr="00000000">
        <w:rPr>
          <w:b w:val="1"/>
          <w:color w:val="222222"/>
          <w:highlight w:val="white"/>
          <w:rtl w:val="0"/>
        </w:rPr>
        <w:t xml:space="preserve">Océanos y Agua</w:t>
      </w:r>
      <w:r w:rsidDel="00000000" w:rsidR="00000000" w:rsidRPr="00000000">
        <w:rPr>
          <w:rtl w:val="0"/>
        </w:rPr>
      </w:r>
    </w:p>
    <w:p w:rsidR="00000000" w:rsidDel="00000000" w:rsidP="00000000" w:rsidRDefault="00000000" w:rsidRPr="00000000" w14:paraId="00000017">
      <w:pPr>
        <w:numPr>
          <w:ilvl w:val="0"/>
          <w:numId w:val="1"/>
        </w:numPr>
        <w:ind w:left="720" w:hanging="360"/>
        <w:jc w:val="both"/>
        <w:rPr/>
      </w:pPr>
      <w:r w:rsidDel="00000000" w:rsidR="00000000" w:rsidRPr="00000000">
        <w:rPr>
          <w:color w:val="222222"/>
          <w:highlight w:val="white"/>
          <w:rtl w:val="0"/>
        </w:rPr>
        <w:t xml:space="preserve">Más allá de la tierra, los océanos y los cuerpos de agua terrestre también están bajo presión por la privatización, las industrias extractivas y la abandono por parte del estado. El acaparamiento y la contaminación del agua por parte de grandes corporaciones agrícolas y mineras, junto con su uso como herramienta de control, exacerban las desigualdades y la opresión en los sistemas de agua terrestre. El daño causado por la pesca industrial está devastando los océanos del mundo, mientras que los pescadores a pequeña escala  son excluidos de sus medios y modos de supervivencia.</w:t>
      </w:r>
      <w:r w:rsidDel="00000000" w:rsidR="00000000" w:rsidRPr="00000000">
        <w:rPr>
          <w:rtl w:val="0"/>
        </w:rPr>
      </w:r>
    </w:p>
    <w:p w:rsidR="00000000" w:rsidDel="00000000" w:rsidP="00000000" w:rsidRDefault="00000000" w:rsidRPr="00000000" w14:paraId="00000018">
      <w:pPr>
        <w:numPr>
          <w:ilvl w:val="0"/>
          <w:numId w:val="1"/>
        </w:numPr>
        <w:ind w:left="720" w:hanging="360"/>
        <w:jc w:val="both"/>
        <w:rPr>
          <w:u w:val="none"/>
        </w:rPr>
      </w:pPr>
      <w:r w:rsidDel="00000000" w:rsidR="00000000" w:rsidRPr="00000000">
        <w:rPr>
          <w:color w:val="222222"/>
          <w:highlight w:val="white"/>
          <w:rtl w:val="0"/>
        </w:rPr>
        <w:t xml:space="preserve">Las luchas de campesinas y campesinos, pastores, pescadores y comunidades costeras son fundamentales para la justicia agraria. Proteger y recuperar los océanos y el agua como bienes comunes es crítico para la soberanía alimentaria, la resiliencia climática y la supervivencia de millones de personas que dependen directamente de estos recursos.</w:t>
      </w:r>
      <w:r w:rsidDel="00000000" w:rsidR="00000000" w:rsidRPr="00000000">
        <w:rPr>
          <w:rtl w:val="0"/>
        </w:rPr>
      </w:r>
    </w:p>
    <w:p w:rsidR="00000000" w:rsidDel="00000000" w:rsidP="00000000" w:rsidRDefault="00000000" w:rsidRPr="00000000" w14:paraId="00000019">
      <w:pPr>
        <w:spacing w:after="240" w:before="240" w:lineRule="auto"/>
        <w:rPr>
          <w:b w:val="1"/>
        </w:rPr>
      </w:pPr>
      <w:r w:rsidDel="00000000" w:rsidR="00000000" w:rsidRPr="00000000">
        <w:rPr>
          <w:b w:val="1"/>
          <w:color w:val="222222"/>
          <w:highlight w:val="white"/>
          <w:rtl w:val="0"/>
        </w:rPr>
        <w:t xml:space="preserve">Repensando las vías de desarrollo</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both"/>
        <w:rPr/>
      </w:pPr>
      <w:r w:rsidDel="00000000" w:rsidR="00000000" w:rsidRPr="00000000">
        <w:rPr>
          <w:color w:val="222222"/>
          <w:highlight w:val="white"/>
          <w:rtl w:val="0"/>
        </w:rPr>
        <w:t xml:space="preserve">Repensar las bases sociales, políticas y económicas de la producción y las soluciones medioambientales implica dejar de lado la dependencia excesiva de iniciativas tecnológicas lideradas por la agroindustria , así como las soluciones climáticas impuestas desde arriba y orientadas al mercado, mismas que tienen un impacto negativo gigantesco en los entornos agrarios. Ello requiere desafiar los supuestos contemporáneos sobre el desarrollo y repensar las relaciones entre la tierra, el agua, las personas y la naturaleza en nuevas maneras que transformen fundamentalmente el sistema actual, basado en el mercado y el lucro, buscando soluciones más compartidas, colectivas y comunes.</w:t>
      </w:r>
      <w:r w:rsidDel="00000000" w:rsidR="00000000" w:rsidRPr="00000000">
        <w:rPr>
          <w:rtl w:val="0"/>
        </w:rPr>
      </w:r>
    </w:p>
    <w:p w:rsidR="00000000" w:rsidDel="00000000" w:rsidP="00000000" w:rsidRDefault="00000000" w:rsidRPr="00000000" w14:paraId="0000001B">
      <w:pPr>
        <w:numPr>
          <w:ilvl w:val="0"/>
          <w:numId w:val="1"/>
        </w:numPr>
        <w:spacing w:after="240" w:before="0" w:beforeAutospacing="0" w:lineRule="auto"/>
        <w:ind w:left="720" w:hanging="360"/>
        <w:jc w:val="both"/>
        <w:rPr/>
      </w:pPr>
      <w:r w:rsidDel="00000000" w:rsidR="00000000" w:rsidRPr="00000000">
        <w:rPr>
          <w:color w:val="222222"/>
          <w:highlight w:val="white"/>
          <w:rtl w:val="0"/>
        </w:rPr>
        <w:t xml:space="preserve">El momento actual requiere más que reformas limitadas de los sistemas agrarios. Más bien, se necesitan transformaciones radicales para repensar y recrear la vida cotidiana de formas que desafíen el poder del </w:t>
      </w:r>
      <w:r w:rsidDel="00000000" w:rsidR="00000000" w:rsidRPr="00000000">
        <w:rPr>
          <w:i w:val="1"/>
          <w:color w:val="222222"/>
          <w:highlight w:val="white"/>
          <w:rtl w:val="0"/>
        </w:rPr>
        <w:t xml:space="preserve">status quo</w:t>
      </w:r>
      <w:r w:rsidDel="00000000" w:rsidR="00000000" w:rsidRPr="00000000">
        <w:rPr>
          <w:color w:val="222222"/>
          <w:highlight w:val="white"/>
          <w:rtl w:val="0"/>
        </w:rPr>
        <w:t xml:space="preserve">. Esto requiere de nuevas alianzas entre productores, trabajadores, consumidores, ambientalistas y otros grupos para impulsar una nueva visión del cambio agrario y el desarrollo rural global, resistiendo contra las poderosas redes de la agroindustria, las empresas de tecnología y los estados autoritarios. ICARRD+20 será un momento vital para confirmar dicha visión.</w:t>
      </w:r>
      <w:r w:rsidDel="00000000" w:rsidR="00000000" w:rsidRPr="00000000">
        <w:rPr>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color w:val="222222"/>
          <w:highlight w:val="white"/>
          <w:rtl w:val="0"/>
        </w:rPr>
        <w:t xml:space="preserve">El papel del conocimiento académico y la investigación en la reforma agraria</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1"/>
        </w:numPr>
        <w:ind w:left="720" w:hanging="360"/>
        <w:jc w:val="both"/>
        <w:rPr>
          <w:u w:val="none"/>
        </w:rPr>
      </w:pPr>
      <w:r w:rsidDel="00000000" w:rsidR="00000000" w:rsidRPr="00000000">
        <w:rPr>
          <w:color w:val="222222"/>
          <w:highlight w:val="white"/>
          <w:rtl w:val="0"/>
        </w:rPr>
        <w:t xml:space="preserve">El congreso enfatizó la necesidad de democratizar la ciencia y hacerla más abierta para el bien común, así como  de llevar a cabo más investigaciones sobre las condiciones de vida realmente existentes en las áreas rurales y urbanas, especialmente aquellas que suelen evadir la atención académica. Estas investigaciones deben desarrollarse en colaboración con los desarrapados rurales y urbanos, y debe proporcionarse financiamiento adecuado para tales colaboraciones, con el propósito de lograr una diferencia significativa en la vida social, ecológica y económica.</w:t>
      </w:r>
      <w:r w:rsidDel="00000000" w:rsidR="00000000" w:rsidRPr="00000000">
        <w:rPr>
          <w:rtl w:val="0"/>
        </w:rPr>
      </w:r>
    </w:p>
    <w:p w:rsidR="00000000" w:rsidDel="00000000" w:rsidP="00000000" w:rsidRDefault="00000000" w:rsidRPr="00000000" w14:paraId="0000001F">
      <w:pPr>
        <w:numPr>
          <w:ilvl w:val="0"/>
          <w:numId w:val="1"/>
        </w:numPr>
        <w:ind w:left="720" w:hanging="360"/>
        <w:jc w:val="both"/>
        <w:rPr>
          <w:u w:val="none"/>
        </w:rPr>
      </w:pPr>
      <w:r w:rsidDel="00000000" w:rsidR="00000000" w:rsidRPr="00000000">
        <w:rPr>
          <w:color w:val="222222"/>
          <w:highlight w:val="white"/>
          <w:rtl w:val="0"/>
        </w:rPr>
        <w:t xml:space="preserve">Nuestro diálogo durante estos tres días destaca la importancia más amplia de establecer alianzas entre los movimientos sociales, los responsables de las políticas públicas y los académicos, así como entre las comunidades rurales y urbanas, las mujeres, la juventud, las y los trabajadores, campesinas y campesinos, pastores y pueblos indígenas. El conocimiento y el activismo deben trabajar juntos, tendiendo puentes entre las luchas locales y la solidaridad global.</w:t>
      </w:r>
      <w:r w:rsidDel="00000000" w:rsidR="00000000" w:rsidRPr="00000000">
        <w:rPr>
          <w:rtl w:val="0"/>
        </w:rPr>
      </w:r>
    </w:p>
    <w:p w:rsidR="00000000" w:rsidDel="00000000" w:rsidP="00000000" w:rsidRDefault="00000000" w:rsidRPr="00000000" w14:paraId="00000020">
      <w:pPr>
        <w:numPr>
          <w:ilvl w:val="0"/>
          <w:numId w:val="1"/>
        </w:numPr>
        <w:ind w:left="720" w:hanging="360"/>
        <w:jc w:val="both"/>
        <w:rPr>
          <w:u w:val="none"/>
        </w:rPr>
      </w:pPr>
      <w:r w:rsidDel="00000000" w:rsidR="00000000" w:rsidRPr="00000000">
        <w:rPr>
          <w:color w:val="222222"/>
          <w:highlight w:val="white"/>
          <w:rtl w:val="0"/>
        </w:rPr>
        <w:t xml:space="preserve">La ICARRD 2026 en Cartagena representa un momento decisivo para vincular la evidencia con las experiencias cotidianas y las luchas política. La resistencia al autoritarismo, la captura corporativa y el extractivismo es inseparable de la construcción de alternativas emancipadoras basadas en la democracia, la justicia y la sostenibilidad. Hacemos un llamado a los organismos internacionales como la FAO, el PMA y el FIDA, así como  a las organizaciones continentales como la Unión Africana y la Unión Europea, a que se involucren de manera solidaria con el proceso de la ICARRD.  También instamos a todos los gobiernos a participar en la ICARRD y a comprometerse con la búsqueda de alternativas creativas al sistema vigente.</w:t>
      </w:r>
    </w:p>
    <w:p w:rsidR="00000000" w:rsidDel="00000000" w:rsidP="00000000" w:rsidRDefault="00000000" w:rsidRPr="00000000" w14:paraId="00000021">
      <w:pPr>
        <w:ind w:left="720" w:firstLine="0"/>
        <w:jc w:val="both"/>
        <w:rPr/>
      </w:pPr>
      <w:r w:rsidDel="00000000" w:rsidR="00000000" w:rsidRPr="00000000">
        <w:rPr>
          <w:rtl w:val="0"/>
        </w:rPr>
      </w:r>
    </w:p>
    <w:p w:rsidR="00000000" w:rsidDel="00000000" w:rsidP="00000000" w:rsidRDefault="00000000" w:rsidRPr="00000000" w14:paraId="00000022">
      <w:pPr>
        <w:spacing w:line="240" w:lineRule="auto"/>
        <w:jc w:val="right"/>
        <w:rPr/>
      </w:pPr>
      <w:r w:rsidDel="00000000" w:rsidR="00000000" w:rsidRPr="00000000">
        <w:rPr>
          <w:rtl w:val="0"/>
        </w:rPr>
        <w:t xml:space="preserve">  </w:t>
      </w:r>
    </w:p>
    <w:p w:rsidR="00000000" w:rsidDel="00000000" w:rsidP="00000000" w:rsidRDefault="00000000" w:rsidRPr="00000000" w14:paraId="00000023">
      <w:pPr>
        <w:spacing w:line="240" w:lineRule="auto"/>
        <w:jc w:val="right"/>
        <w:rPr/>
      </w:pPr>
      <w:r w:rsidDel="00000000" w:rsidR="00000000" w:rsidRPr="00000000">
        <w:rPr>
          <w:rtl w:val="0"/>
        </w:rPr>
      </w:r>
    </w:p>
    <w:p w:rsidR="00000000" w:rsidDel="00000000" w:rsidP="00000000" w:rsidRDefault="00000000" w:rsidRPr="00000000" w14:paraId="00000024">
      <w:pPr>
        <w:spacing w:line="240" w:lineRule="auto"/>
        <w:jc w:val="right"/>
        <w:rPr/>
      </w:pPr>
      <w:r w:rsidDel="00000000" w:rsidR="00000000" w:rsidRPr="00000000">
        <w:rPr>
          <w:rtl w:val="0"/>
        </w:rPr>
        <w:t xml:space="preserve">  Institute for Poverty, Land and Agrarian Studies,</w:t>
      </w:r>
    </w:p>
    <w:p w:rsidR="00000000" w:rsidDel="00000000" w:rsidP="00000000" w:rsidRDefault="00000000" w:rsidRPr="00000000" w14:paraId="00000025">
      <w:pPr>
        <w:jc w:val="right"/>
        <w:rPr/>
      </w:pPr>
      <w:r w:rsidDel="00000000" w:rsidR="00000000" w:rsidRPr="00000000">
        <w:rPr>
          <w:rtl w:val="0"/>
        </w:rPr>
        <w:t xml:space="preserve">University of the Western Cape, South Africa</w:t>
      </w:r>
    </w:p>
    <w:p w:rsidR="00000000" w:rsidDel="00000000" w:rsidP="00000000" w:rsidRDefault="00000000" w:rsidRPr="00000000" w14:paraId="00000026">
      <w:pPr>
        <w:jc w:val="right"/>
        <w:rPr>
          <w:color w:val="0000ff"/>
        </w:rPr>
      </w:pPr>
      <w:r w:rsidDel="00000000" w:rsidR="00000000" w:rsidRPr="00000000">
        <w:rPr>
          <w:color w:val="0000ff"/>
          <w:rtl w:val="0"/>
        </w:rPr>
        <w:t xml:space="preserve">https://plaas.org.za/land-life-and-society-conference/</w:t>
      </w:r>
    </w:p>
    <w:p w:rsidR="00000000" w:rsidDel="00000000" w:rsidP="00000000" w:rsidRDefault="00000000" w:rsidRPr="00000000" w14:paraId="00000027">
      <w:pPr>
        <w:spacing w:line="240" w:lineRule="auto"/>
        <w:jc w:val="right"/>
        <w:rPr/>
      </w:pP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r>
    </w:p>
    <w:sectPr>
      <w:headerReference r:id="rId7" w:type="default"/>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